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8069B">
      <w:pPr>
        <w:jc w:val="center"/>
        <w:rPr>
          <w:rFonts w:hint="default" w:ascii="Times New Roman" w:hAnsi="Times New Roman" w:eastAsia="SimSun" w:cs="Times New Roman"/>
          <w:b/>
          <w:bCs/>
          <w:i/>
          <w:iCs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i/>
          <w:iCs/>
          <w:sz w:val="28"/>
          <w:szCs w:val="28"/>
        </w:rPr>
        <w:t>Об итогах работы за 2025 год по достижению показателей Цели устойчивого развития № 3 «Обеспечение здорового образа жизни и содействие благополучию для всех в любом возрасте»</w:t>
      </w:r>
    </w:p>
    <w:p w14:paraId="5DB65AED">
      <w:pPr>
        <w:jc w:val="center"/>
        <w:rPr>
          <w:rFonts w:hint="default" w:ascii="Times New Roman" w:hAnsi="Times New Roman" w:eastAsia="SimSun" w:cs="Times New Roman"/>
          <w:b/>
          <w:bCs/>
          <w:i/>
          <w:iCs/>
          <w:sz w:val="28"/>
          <w:szCs w:val="28"/>
        </w:rPr>
      </w:pPr>
      <w:bookmarkStart w:id="0" w:name="_GoBack"/>
      <w:bookmarkEnd w:id="0"/>
    </w:p>
    <w:p w14:paraId="49207DE1">
      <w:pPr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  <w:tab/>
      </w: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>Показатель 3.3.1 «Число новых заражений ВИЧ на 1000 неинфицированных»</w:t>
      </w: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  <w:t xml:space="preserve">. </w:t>
      </w: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/>
        </w:rPr>
        <w:t>Р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абота по профилактике ВИЧ-инфекции была направлена на выполнение поставленных задач подпрограммы 5 «Профилактика ВИЧинфекции» Государственной программы «Здоровье народа и демографическая безопасность» на 2021–2025 годы, целей устойчивого развития, принятых Республикой Беларусь, Политической декларации по ВИЧ/СПИДу: «Ускоренными темпами к активизации борьбы с ВИЧ и прекращению эпидемии СПИДа к 2030 году». </w:t>
      </w:r>
    </w:p>
    <w:p w14:paraId="127B83FA">
      <w:pPr>
        <w:ind w:firstLine="708" w:firstLineChars="0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Работа по достижению показателя ЦУР 3.3.1. проводится по основным направлениям во взаимодействии с организаци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ей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здравоохранения, отделами райисполком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eastAsia="SimSun" w:cs="Times New Roman"/>
          <w:sz w:val="28"/>
          <w:szCs w:val="28"/>
        </w:rPr>
        <w:t>, предприятиями и организациями района. На территори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и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района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оказывается медицинская и социальная помощь ВИЧ-позитивным пациентам, в том числе в вопросах формирования приверженности к АРВ-терапии. Обеспечено диспансерное наблюдение за ВИЧ-положительными пациентами с непрерывным мониторингом за течением болезни и эффективностью терапии. </w:t>
      </w:r>
    </w:p>
    <w:p w14:paraId="333A0A54">
      <w:pPr>
        <w:ind w:firstLine="708" w:firstLineChars="0"/>
        <w:jc w:val="both"/>
        <w:rPr>
          <w:rFonts w:hint="default" w:ascii="Times New Roman" w:hAnsi="Times New Roman" w:eastAsia="SimSun" w:cs="Times New Roman"/>
          <w:color w:val="0000FF"/>
          <w:sz w:val="28"/>
          <w:szCs w:val="28"/>
          <w:u w:val="none"/>
        </w:rPr>
      </w:pPr>
      <w:r>
        <w:rPr>
          <w:rFonts w:hint="default" w:ascii="Times New Roman" w:hAnsi="Times New Roman" w:eastAsia="SimSun" w:cs="Times New Roman"/>
          <w:color w:val="auto"/>
          <w:sz w:val="28"/>
          <w:szCs w:val="28"/>
          <w:u w:val="none"/>
        </w:rPr>
        <w:t xml:space="preserve">В 2025 году, благодаря эффективной работе по формированию приверженности к лечению пациентов с ВИЧ, удалось увеличить и выполнить показатель охвата антиретровирусной терапией людей, живущих с ВИЧ и знающих свой ВИЧ-положительный статус, косвенный индикатор 3.3.1. составил 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8"/>
          <w:szCs w:val="28"/>
          <w:u w:val="none"/>
          <w:lang w:val="ru-RU"/>
        </w:rPr>
        <w:t>100</w:t>
      </w:r>
      <w:r>
        <w:rPr>
          <w:rFonts w:hint="default" w:ascii="Times New Roman" w:hAnsi="Times New Roman" w:eastAsia="SimSun" w:cs="Times New Roman"/>
          <w:b/>
          <w:bCs/>
          <w:color w:val="auto"/>
          <w:sz w:val="28"/>
          <w:szCs w:val="28"/>
          <w:u w:val="none"/>
        </w:rPr>
        <w:t xml:space="preserve"> %.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  <w:u w:val="none"/>
        </w:rPr>
        <w:t xml:space="preserve"> Свидетельством эффективной профилактической и лечебно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  <w:u w:val="none"/>
          <w:lang w:val="ru-RU"/>
        </w:rPr>
        <w:t>-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  <w:u w:val="none"/>
        </w:rPr>
        <w:t>диагностической работы является достижение в 2025 году такого показателя государственной программы как «Элиминация вертикальной передачи ВИЧ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  <w:u w:val="none"/>
          <w:lang w:val="ru-RU"/>
        </w:rPr>
        <w:t>-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  <w:u w:val="none"/>
        </w:rPr>
        <w:t xml:space="preserve">инфекции от матери ребенку и случаев передачи ВИЧ, связанных с оказанием медицинской помощи» – показатель составил 0% - случаев передачи ВИЧ-инфекции от матери ребенку и случаев передачи ВИЧ, связанных с оказанием медицинской помощи, не зарегистрировано. </w:t>
      </w:r>
    </w:p>
    <w:p w14:paraId="2118F0F6">
      <w:pPr>
        <w:ind w:firstLine="708" w:firstLineChars="0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В женск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ой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консультаци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и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беременные женщины 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  <w:u w:val="none"/>
          <w:lang w:val="ru-RU"/>
        </w:rPr>
        <w:t>100%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  <w:u w:val="none"/>
        </w:rPr>
        <w:t xml:space="preserve"> охвачены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тестированием на ВИЧ, согласно действующим нормативным правовым актам. Активно проводится тестирование на ВИЧ мужчин, подтвердивших свое отцовство в данной беременности. В мае 2025 года в учреждениях и организациях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 района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прошли мероприятия, приуроченные к Международному дню памяти, умерших от СПИДа, согласно утвержденному заместителем председателя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Костюковичского рай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исполкома комплексному плану основных мероприятий, приуроченных к Международному дню памяти людей, умерших от СПИДа. </w:t>
      </w:r>
    </w:p>
    <w:p w14:paraId="13FA315B">
      <w:pPr>
        <w:pStyle w:val="4"/>
        <w:shd w:val="clear" w:color="auto" w:fill="auto"/>
        <w:spacing w:before="0" w:line="240" w:lineRule="auto"/>
        <w:ind w:firstLine="780"/>
      </w:pPr>
      <w:r>
        <w:t>В информационно-профилактической работе среди населения Костюковичского района делался акцент на формирование безопасного и ответственного поведения, формирование мотивации к прохождению тестирования на ВИЧ, профилактику стигмы и дискриминации людей живущих с ВИЧ (ЛЖВ). Проводилась работа по внедрению и расширению применения экспресс-тестирования. На интернет-сайтах учреждений  здравоохранения размещены информационные материалы по профилактике ВИЧ-инфекции. В аптечной сети организована продажа экспресс-тестов по слюне для населения.</w:t>
      </w:r>
    </w:p>
    <w:p w14:paraId="6181AE2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FF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</w:rPr>
        <w:tab/>
      </w:r>
    </w:p>
    <w:p w14:paraId="44C03FCB">
      <w:pPr>
        <w:tabs>
          <w:tab w:val="left" w:pos="709"/>
        </w:tabs>
        <w:spacing w:after="0" w:line="240" w:lineRule="auto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  <w:tab/>
      </w: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  <w:t>П</w:t>
      </w: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>оказатель 3.3.3 «Заболеваемость малярией на 1000 человек».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В 2025 году на территори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и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Костюковичского района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проводилась систематизированная работа по обеспечению устойчивого эпидемиологического благополучия по заболеваемости малярией, реализации 3 задач по достижению показателя ЦУР 3.3.3. «Заболеваемость малярией» (далее – показатель 3.3.3.). За последние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1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0 лет эпидемиологического слежения,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не  </w:t>
      </w:r>
      <w:r>
        <w:rPr>
          <w:rFonts w:hint="default" w:ascii="Times New Roman" w:hAnsi="Times New Roman" w:eastAsia="SimSun" w:cs="Times New Roman"/>
          <w:sz w:val="28"/>
          <w:szCs w:val="28"/>
        </w:rPr>
        <w:t>регистрир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овались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случаи заболеваний малярией на территории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района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.  Для достижения целевого показателя в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районе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обеспечен доступ населения к средствам профилактики, диагностики и лечения малярии, обеспечен непрерывный эпидемиологический надзор за малярией. В 2025 году решени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м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 Костюковичского районного </w:t>
      </w:r>
      <w:r>
        <w:rPr>
          <w:rFonts w:hint="default" w:ascii="Times New Roman" w:hAnsi="Times New Roman" w:eastAsia="SimSun" w:cs="Times New Roman"/>
          <w:sz w:val="28"/>
          <w:szCs w:val="28"/>
        </w:rPr>
        <w:t>исполнительн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ого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комитет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на территории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Костюковичского района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определены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зоны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отдыха населения у водных объектов с организацией купания, по которым проведены работы по благоустройству и очистке перед купальным сезоном.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Учреждением здравоохранения «Костюковичский районный центр гигиены и эпидемиологии»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в купальный период 2025 года осуществлялся постоянный контроль за местами отдыха у воды с организацией купания, с лабораторным контролем качества воды зон рекреаций, пляжей.  Активно проводится информационно-образовательная работа с населением по профилактике малярии с акцентом на информирование граждан, выезжающих за рубеж, по вопросам минимизации рисков инфицирования возбудителем малярии при поездках в неблагополучные страны.  </w:t>
      </w:r>
    </w:p>
    <w:p w14:paraId="6A126AF9">
      <w:pPr>
        <w:ind w:firstLine="708" w:firstLineChars="0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  <w:t>П</w:t>
      </w: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>оказатель 3.3.4 «Заболеваемость гепатитом В на 100000 человек».</w:t>
      </w: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В 2025 году работа по профилактике вирусного гепатита В реализовывалась в рамках постановлений и приказов Министерства здравоохранения Республики Беларусь, приказов главного управления по здравоохранению Могилевского облисполкома и базировалась на целевых показателях, реализуемых в рамках достижения Цели устойчивого развития № 3.3.4. </w:t>
      </w:r>
    </w:p>
    <w:p w14:paraId="17B5EF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Скрининг населения Костюковичского района на ХВГВ за 2025 года составил  7,3%.</w:t>
      </w:r>
    </w:p>
    <w:p w14:paraId="0C248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sz w:val="28"/>
          <w:szCs w:val="28"/>
        </w:rPr>
        <w:t xml:space="preserve">За 2025 год в районе зарегистрировано 2 случая </w:t>
      </w:r>
      <w:r>
        <w:rPr>
          <w:rFonts w:ascii="Times New Roman" w:hAnsi="Times New Roman" w:eastAsia="SimSun" w:cs="Times New Roman"/>
          <w:bCs/>
          <w:sz w:val="28"/>
          <w:szCs w:val="28"/>
        </w:rPr>
        <w:t>ХВГВ (не привитые), контактные лица обследованы и  привиты от ВГВ в 100% случаях.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4609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Осуществляется контроль за вакцинацией против ВГВ работников УЗ «Костюковичская ЦРБ», которые в процессе своей профессиональной деятельности имеют контакт с кровью, другими биологическими материалами человека. </w:t>
      </w:r>
      <w:r>
        <w:rPr>
          <w:rFonts w:ascii="Times New Roman" w:hAnsi="Times New Roman" w:eastAsia="Times New Roman" w:cs="Times New Roman"/>
          <w:sz w:val="28"/>
          <w:szCs w:val="28"/>
        </w:rPr>
        <w:t>Охват вакцинацией за 2025 год против ВГВ работников организаций здравоохранения, имеющих контакт с кровью и другими биологическими жидкостями человека (без учета лиц, находящихся в декретном отпуске по уходе за ребенком) составил 99,3% (целевой показатель - более 95%).</w:t>
      </w:r>
      <w:r>
        <w:rPr>
          <w:rFonts w:ascii="Times New Roman" w:hAnsi="Times New Roman" w:cs="Times New Roman"/>
          <w:sz w:val="28"/>
          <w:szCs w:val="28"/>
        </w:rPr>
        <w:t xml:space="preserve"> Аварийных контактов в 2025 не зарегистрировано. </w:t>
      </w:r>
    </w:p>
    <w:p w14:paraId="15ECA1AA">
      <w:pPr>
        <w:ind w:firstLine="708" w:firstLineChars="0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 xml:space="preserve">В целях реализации мероприятий Государственной программы «Здоровье народа и демографическая безопасность» на 2021 – 2025 годы, мероприятий по достижению Цели устойчивого развития №3 «Хорошее здоровье и благополучие», приказа Министерства здравоохранения Республики Беларусь от 15.12.2009 №1160 «Об информационной работе с населением», приказа главного управления по здравоохранению Могилевского облисполкома от 12.07.2021 №352 «О реализации мероприятий по элиминации вирусного гепатита С и снижению заболеваемости парентеральными вирусными гепатитами в Могилевской области» в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районе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проведена информационно-образовательная акция, приуроченная к ЕДЗ «Всемирный День борьбы с гепатитом». Работа была направлена на повышение информированности уязвимых групп населения, «труднодоступных контингентов» (отказчики от иммунизации, контактные лица, длительно не посещающие организации здравоохранения для проведения ежегодного медицинского обследования и др.).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eastAsia="SimSun" w:cs="Times New Roman"/>
          <w:sz w:val="28"/>
          <w:szCs w:val="28"/>
        </w:rPr>
        <w:t>а сайте центр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гигиены и эпидемиологии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8"/>
          <w:szCs w:val="28"/>
        </w:rPr>
        <w:t>размещ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ё</w:t>
      </w:r>
      <w:r>
        <w:rPr>
          <w:rFonts w:hint="default" w:ascii="Times New Roman" w:hAnsi="Times New Roman" w:eastAsia="SimSun" w:cs="Times New Roman"/>
          <w:sz w:val="28"/>
          <w:szCs w:val="28"/>
        </w:rPr>
        <w:t>н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пресс-релиз. Проведено анкетирование среди населения уязвимых групп (опрошено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40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респондентов), результаты социологического опроса показывают, что проводимая на протяжении 2024–2025 годов информационная работа, позволила увеличить осведомл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ё</w:t>
      </w:r>
      <w:r>
        <w:rPr>
          <w:rFonts w:hint="default" w:ascii="Times New Roman" w:hAnsi="Times New Roman" w:eastAsia="SimSun" w:cs="Times New Roman"/>
          <w:sz w:val="28"/>
          <w:szCs w:val="28"/>
        </w:rPr>
        <w:t>нность населения о проблеме парентеральных вирусных гепатитов, мерах по профилактике заболеваний и скорректировать вектор направленности информационно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образовательной работы с населением. </w:t>
      </w:r>
    </w:p>
    <w:p w14:paraId="375F84E2">
      <w:pPr>
        <w:ind w:firstLine="708" w:firstLineChars="0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color w:val="auto"/>
          <w:sz w:val="28"/>
          <w:szCs w:val="28"/>
          <w:lang w:val="ru-RU"/>
        </w:rPr>
        <w:t>П</w:t>
      </w:r>
      <w:r>
        <w:rPr>
          <w:rFonts w:hint="default" w:ascii="Times New Roman" w:hAnsi="Times New Roman" w:eastAsia="SimSun" w:cs="Times New Roman"/>
          <w:b/>
          <w:bCs/>
          <w:color w:val="auto"/>
          <w:sz w:val="28"/>
          <w:szCs w:val="28"/>
        </w:rPr>
        <w:t>оказатель 3.3.5 «Число лиц, нуждающихся в лечении от «забытых» тропических болезней».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</w:rPr>
        <w:t xml:space="preserve"> На территории 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  <w:lang w:val="ru-RU"/>
        </w:rPr>
        <w:t>района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</w:rPr>
        <w:t xml:space="preserve"> в 2025 году обеспечена устойчивость ситуации по показателю ЦУР 3.3.5 «Чис</w:t>
      </w:r>
      <w:r>
        <w:rPr>
          <w:rFonts w:hint="default" w:ascii="Times New Roman" w:hAnsi="Times New Roman" w:eastAsia="SimSun" w:cs="Times New Roman"/>
          <w:sz w:val="28"/>
          <w:szCs w:val="28"/>
        </w:rPr>
        <w:t>ло лиц, нуждающихся в лечении от «забытых» тропических болезней»: случаи кожного лейшманиоза, дракункулеза, лимфатического филяриоза, язвы Бурули, лепры, болезни Шагаса, лихорадки чикунгунья и других «тропических» заболеваний не регистрировались.</w:t>
      </w:r>
    </w:p>
    <w:p w14:paraId="744E71D5">
      <w:pPr>
        <w:ind w:firstLine="708" w:firstLineChars="0"/>
        <w:jc w:val="both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В районе отсутствуют  фирмы </w:t>
      </w:r>
      <w:r>
        <w:rPr>
          <w:rFonts w:hint="default" w:ascii="Times New Roman" w:hAnsi="Times New Roman" w:eastAsia="SimSun" w:cs="Times New Roman"/>
          <w:sz w:val="28"/>
          <w:szCs w:val="28"/>
        </w:rPr>
        <w:t>занимающихся турагентской и туроператорской деятельностью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.</w:t>
      </w:r>
    </w:p>
    <w:p w14:paraId="1F950C4C">
      <w:pPr>
        <w:ind w:firstLine="708" w:firstLineChars="0"/>
        <w:jc w:val="both"/>
        <w:rPr>
          <w:rFonts w:hint="default" w:ascii="Times New Roman" w:hAnsi="Times New Roman" w:eastAsia="SimSun" w:cs="Times New Roman"/>
          <w:b/>
          <w:bCs/>
          <w:color w:val="auto"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color w:val="auto"/>
          <w:sz w:val="28"/>
          <w:szCs w:val="28"/>
          <w:lang w:val="ru-RU"/>
        </w:rPr>
        <w:t>П</w:t>
      </w:r>
      <w:r>
        <w:rPr>
          <w:rFonts w:hint="default" w:ascii="Times New Roman" w:hAnsi="Times New Roman" w:eastAsia="SimSun" w:cs="Times New Roman"/>
          <w:b/>
          <w:bCs/>
          <w:color w:val="auto"/>
          <w:sz w:val="28"/>
          <w:szCs w:val="28"/>
        </w:rPr>
        <w:t xml:space="preserve">оказатель 3.b.1. «Доля целевой группы населения, охваченной иммунизацией всеми вакцинами, включенными в национальные программы (процент)». </w:t>
      </w:r>
    </w:p>
    <w:p w14:paraId="3DFF9424">
      <w:pPr>
        <w:ind w:firstLine="708" w:firstLineChars="0"/>
        <w:jc w:val="both"/>
        <w:rPr>
          <w:rFonts w:hint="default" w:ascii="Times New Roman" w:hAnsi="Times New Roman" w:eastAsia="SimSun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auto"/>
          <w:sz w:val="28"/>
          <w:szCs w:val="28"/>
        </w:rPr>
        <w:t xml:space="preserve">В 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  <w:lang w:val="ru-RU"/>
        </w:rPr>
        <w:t>Костюковичском районе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</w:rPr>
        <w:t xml:space="preserve"> в 2025 году индекс охвата иммунизацией детей в возрасте 1 года 3 дозами вакцины против дифтерии, столбняка и коклюша составил 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  <w:lang w:val="ru-RU"/>
        </w:rPr>
        <w:t>98,6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</w:rPr>
        <w:t xml:space="preserve"> %, полиомиелита – 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  <w:lang w:val="ru-RU"/>
        </w:rPr>
        <w:t>98,6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</w:rPr>
        <w:t xml:space="preserve">%, вирусного гепатита – 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  <w:lang w:val="ru-RU"/>
        </w:rPr>
        <w:t>97,7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</w:rPr>
        <w:t xml:space="preserve"> %, туберкулеза – 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  <w:lang w:val="ru-RU"/>
        </w:rPr>
        <w:t>100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</w:rPr>
        <w:t xml:space="preserve">%, кори, эпидемического паротита и краснухи – 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  <w:lang w:val="ru-RU"/>
        </w:rPr>
        <w:t>99,3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</w:rPr>
        <w:t xml:space="preserve"> %, что соответствует оптимальному показателю (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  <w:lang w:val="ru-RU"/>
        </w:rPr>
        <w:t>97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</w:rPr>
        <w:t xml:space="preserve"> %).</w:t>
      </w:r>
    </w:p>
    <w:p w14:paraId="369CA115">
      <w:pPr>
        <w:ind w:firstLine="708" w:firstLineChars="0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auto"/>
          <w:sz w:val="28"/>
          <w:szCs w:val="28"/>
        </w:rPr>
        <w:t xml:space="preserve"> В рамках реализации задач для достижения показателя ЦУР 3.b.1, с целью выполнения показателей качества иммуниза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ции населения в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районе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организован контроль за рациональным использованием иммунобиологических лекарственных препаратов. Санитарноэпидемиологической службой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района </w:t>
      </w:r>
      <w:r>
        <w:rPr>
          <w:rFonts w:hint="default" w:ascii="Times New Roman" w:hAnsi="Times New Roman" w:eastAsia="SimSun" w:cs="Times New Roman"/>
          <w:sz w:val="28"/>
          <w:szCs w:val="28"/>
        </w:rPr>
        <w:t>организованы мероприятия по контролю за транспортировкой и хранением ИЛС в условиях «холодовой цепи» и обучению медицинских кадров. С целью усиления межведомственного взаимодействия для достижения показателя ЦУР 3. b.1 в 2025 году провед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ё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н ряд мероприятий. С 27 апреля по 03 мая была проведена ежегодная Европейская неделя иммунизации. Организованы выступления в СМИ, работа «горячей линии». </w:t>
      </w:r>
    </w:p>
    <w:p w14:paraId="21BC1B8C">
      <w:pPr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  <w:t>П</w:t>
      </w: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 xml:space="preserve">оказатель 3.d.1 «Способность соблюдать Международные медикосанитарные правила (ММСП) и готовность к чрезвычайным ситуациям в области общественного здравоохранения». </w:t>
      </w:r>
      <w:r>
        <w:rPr>
          <w:rFonts w:ascii="Times New Roman" w:hAnsi="Times New Roman" w:cs="Times New Roman"/>
          <w:sz w:val="28"/>
          <w:szCs w:val="28"/>
        </w:rPr>
        <w:t>Основные направления работы по санитарной охране Костюковичского района были определены в рамках поручений Министерства здравоохранения Республики Беларусь, взаимодействие с органами власти и ведомствами по вопросам обеспечения санитарной охраны территории, биологической безопасности, стабильной санитарно-эпидемиологической обстановки по инфекционным заболеваниям имеющих международное значение (далее-ИЗИМЗ), с актуализацией территориальных комплексных планов мероприятий по санитарной охране.</w:t>
      </w:r>
    </w:p>
    <w:p w14:paraId="63DFD247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Факторами, влияющими на увеличение риска завоза инфекционных заболеваний, в том числе имеющих международное значение, на территорию Республики Беларусь на сегодняшний день являются: постепенно увеличившийся пассажиропоток (туристические и деловые поездки, бизнес-коммуникации, медицинский туризм, в том числе из стран Азии, и т.д.) после снятия «ковидных» ограничений.</w:t>
      </w:r>
    </w:p>
    <w:p w14:paraId="39E4CE3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В 2025г. деятельность санитарно-эпидемиологической службы была ориентирована на совместную работу с лечебной сетью, заинтересованными ведомствами и службами, органами исполнительной власти по достижению устойчивости территорий по показателю ЦУР 3.d.1. «Способность соблюдать Международные медико-санитарные правила (ММСП) и готовность к чрезвычайным ситуациям в области общественного здравоохранения».</w:t>
      </w:r>
      <w:r>
        <w:rPr>
          <w:rFonts w:hint="default" w:ascii="Times New Roman" w:hAnsi="Times New Roman" w:cs="Times New Roman"/>
          <w:bCs/>
          <w:sz w:val="28"/>
          <w:szCs w:val="28"/>
          <w:lang w:val="ru-RU" w:eastAsia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На фоне реальных угроз завоза и распространения в мире известных инфекционных заболеваний, имеющих международное значение, и возникающих новых (далее- ИЗИМЗ), благодаря реализации мероприятий, проводимых в соответствии с областным и районным комплексным  планом мероприятий по санитарной охране, утвержденными органами исполнительной власти, в рамках задач, определ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ё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нных постановлением Советов Министров Республики Беларусь  от 22 марта 2022г №161 «О Концепции национальной системы обеспечения биологической безопасности»,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удалось обеспечить полную санитарную охрану территории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– в 2025 году не зарегистрировано случаев заноса с распространением, а также возникновения местных инфекционных заболеваний, повл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>ё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кших чрезвычайную ситуацию в области общественного здравоохранения, имеющую международное значение.</w:t>
      </w:r>
    </w:p>
    <w:p w14:paraId="3A670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В районе работа по санитарной охране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территории проводилась в соответствии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sz w:val="28"/>
          <w:szCs w:val="28"/>
        </w:rPr>
        <w:t>омплексного плана мероприятий по санитарной охране территории Костюковичского района от заноса и распространения инфекционных заболеваний, имеющих международное значение на 2016-2025 годы»), утвержд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>нным решением Костюковичского райисполкома от 04.04.2016 года № 7-26.</w:t>
      </w:r>
    </w:p>
    <w:p w14:paraId="5A212C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декабре 2025 года заместителем председателя Костюковичского районного исполнительного комитета, председателем комиссии по чрезвычайным ситуациям при Костюковичском райисполкоме, утвержд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>н комплексный план мероприятий по санитарной охране территории Костюковичского района от заноса и распространения инфекционных заболеваний, требующих проведения мероприятий по санитарной охране территории на 2026-2036 годы</w:t>
      </w:r>
    </w:p>
    <w:p w14:paraId="4F83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данным планом в районе предусмотрена госпитальная база: изолятор на единичные и групповые случаи заболевания (Забычанская БСУ и амбулатория), изолятор при массовом поступлении населения – до 100человек (УО «Костюковичский государственный колледж»); обсерватор на единичные и групповые случаи заболевания (гостиница «Костюковичи» УКПП «Костюковичский жилкоммунхоз»), обсерватор на массовые случаи (УО «Костюковичская районная государственная гимназия».</w:t>
      </w:r>
    </w:p>
    <w:p w14:paraId="45B6E058">
      <w:pPr>
        <w:spacing w:after="0" w:line="288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Госпитализация пациентов с инфекционным заболеванием, имеющим международное значение, предусмотрена в инфекционное отделение УЗ «Климовичская ЦРБ» и УЗ «Могилевская больница №1».</w:t>
      </w:r>
    </w:p>
    <w:p w14:paraId="20A08229">
      <w:pPr>
        <w:spacing w:after="0" w:line="288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выявления потенциальных чрезвычайных ситуаций с угрозами здоровья населению специалистами УЗ «Костюковичский райЦГЭ проводится оценка организации здравоохранения, в том числе в сельских населенных пунктах, по их готовности к выявлению лиц с симптомами инфекционных заболеваний, имеющих международное значение (далее- ИЗИМЗ), оказанию  им медицинской помощи и проведению соответствующих санитарно-противоэпидемических мероприятий. </w:t>
      </w:r>
    </w:p>
    <w:p w14:paraId="704950B7">
      <w:pPr>
        <w:spacing w:after="0" w:line="288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организации здравоохранения района создана определ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>нная материально-техническая база на случай выявления больного с подозрением на инфекционные заболевания, имеющих международное значение и проведения комплекса лечебно-диагностических и противоэпидемических мероприятий: организация здравоохранения обеспечена универсальными комплектами противоэпидемической защиты, кабинет инфекционных заболеваний оснащ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>н укладкой для забора материала на холеру. Обеспеченность дезинфицирующими средствами, лечебными препаратами, одноразовым медицинским инструментарием (шприцы, системы) достаточная.</w:t>
      </w:r>
    </w:p>
    <w:p w14:paraId="1FB59783">
      <w:pPr>
        <w:spacing w:after="0" w:line="288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медицинскими работниками района ежеквартально проводится уч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>ба по вопросам санитарной охраны территории с отработкой практических навыков.</w:t>
      </w:r>
    </w:p>
    <w:p w14:paraId="07B1C1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контроля за вибропейзажем внешней среды проводились исследования воды поверхностных водо</w:t>
      </w:r>
      <w:r>
        <w:rPr>
          <w:rFonts w:ascii="Times New Roman" w:hAnsi="Times New Roman"/>
          <w:sz w:val="28"/>
          <w:szCs w:val="28"/>
          <w:lang w:val="ru-RU"/>
        </w:rPr>
        <w:t>ё</w:t>
      </w:r>
      <w:r>
        <w:rPr>
          <w:rFonts w:ascii="Times New Roman" w:hAnsi="Times New Roman"/>
          <w:sz w:val="28"/>
          <w:szCs w:val="28"/>
        </w:rPr>
        <w:t>мов на наличие холерного вибриона из 3-ох паспортизированных стационарных точ</w:t>
      </w:r>
      <w:r>
        <w:rPr>
          <w:rFonts w:ascii="Times New Roman" w:hAnsi="Times New Roman"/>
          <w:sz w:val="28"/>
          <w:szCs w:val="28"/>
          <w:lang w:val="ru-RU"/>
        </w:rPr>
        <w:t>ек</w:t>
      </w:r>
      <w:r>
        <w:rPr>
          <w:rFonts w:ascii="Times New Roman" w:hAnsi="Times New Roman"/>
          <w:sz w:val="28"/>
          <w:szCs w:val="28"/>
        </w:rPr>
        <w:t xml:space="preserve"> (р. Жадунька -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зона отдыха; р. Жадунька - место сброса сточных вод; о. Боровец -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зона отдыха).</w:t>
      </w:r>
    </w:p>
    <w:p w14:paraId="79B96A40">
      <w:pPr>
        <w:spacing w:after="0" w:line="240" w:lineRule="auto"/>
        <w:ind w:firstLine="708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За 2025 год исследованы 28 проб воды, холерные и не холерные вибрионы не выделены (за 2024 год исследовано 40 проб воды). </w:t>
      </w:r>
      <w:r>
        <w:rPr>
          <w:rFonts w:hint="default" w:ascii="Times New Roman" w:hAnsi="Times New Roman"/>
          <w:sz w:val="28"/>
          <w:szCs w:val="28"/>
          <w:lang w:val="ru-RU"/>
        </w:rPr>
        <w:tab/>
      </w:r>
    </w:p>
    <w:p w14:paraId="353301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 xml:space="preserve">Актуальные вопросы санитарной охраны, профилактики зоонозных инфекций рассматривались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на заседаниях Совета депутатов Костюковичского района.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Своевременно и в полном объ</w:t>
      </w:r>
      <w:r>
        <w:rPr>
          <w:rFonts w:ascii="Times New Roman" w:hAnsi="Times New Roman"/>
          <w:sz w:val="28"/>
          <w:szCs w:val="28"/>
          <w:lang w:val="ru-RU"/>
        </w:rPr>
        <w:t>ё</w:t>
      </w:r>
      <w:r>
        <w:rPr>
          <w:rFonts w:ascii="Times New Roman" w:hAnsi="Times New Roman"/>
          <w:sz w:val="28"/>
          <w:szCs w:val="28"/>
        </w:rPr>
        <w:t xml:space="preserve">ме реализованный в рамках межведомственного взаимодействия комплекс санитарно-противоэпидемических мероприятий позволил добиться устойчивого эпидемического благополучия по </w:t>
      </w:r>
      <w:r>
        <w:rPr>
          <w:rFonts w:ascii="Times New Roman" w:hAnsi="Times New Roman"/>
          <w:b w:val="0"/>
          <w:bCs/>
          <w:sz w:val="28"/>
          <w:szCs w:val="28"/>
        </w:rPr>
        <w:t>зоонозным инфекциям,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сохраняя стабильной и управляемой ситуации: не регистрировалась заболеваемость в районе легионеллезом, снизилась на 33,3% заболеваемость бруцеллезом в сравнении с 2024 годом</w:t>
      </w:r>
      <w:r>
        <w:rPr>
          <w:rFonts w:hint="default"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3EF07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Таким образом, провед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ё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нная в 2025 году работа по реализации задач, регулируемых 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</w:rPr>
        <w:t>показателем 3.d.1., показ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ывает достаточность и эффективность принимаемых мер по обеспечению устойчивости противоэпидемической защиты населения. </w:t>
      </w:r>
    </w:p>
    <w:p w14:paraId="7778492D">
      <w:pPr>
        <w:ind w:firstLine="708" w:firstLineChars="0"/>
        <w:jc w:val="both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b/>
          <w:bCs/>
          <w:color w:val="auto"/>
          <w:sz w:val="28"/>
          <w:szCs w:val="28"/>
          <w:lang w:val="ru-RU"/>
        </w:rPr>
        <w:t>П</w:t>
      </w:r>
      <w:r>
        <w:rPr>
          <w:rFonts w:hint="default" w:ascii="Times New Roman" w:hAnsi="Times New Roman" w:eastAsia="SimSun" w:cs="Times New Roman"/>
          <w:b/>
          <w:bCs/>
          <w:color w:val="auto"/>
          <w:sz w:val="28"/>
          <w:szCs w:val="28"/>
        </w:rPr>
        <w:t xml:space="preserve">оказатель 3.d.2 «Процентная доля инфекций кровотока, вызываемых отдельными организмами, устойчивыми к противомикробным препаратам».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Система надзора за резистентностью клинически значимых микроорганизмов в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Костюковичском районе </w:t>
      </w:r>
      <w:r>
        <w:rPr>
          <w:rFonts w:hint="default" w:ascii="Times New Roman" w:hAnsi="Times New Roman" w:eastAsia="SimSun" w:cs="Times New Roman"/>
          <w:sz w:val="28"/>
          <w:szCs w:val="28"/>
        </w:rPr>
        <w:t>представлена микробиологическ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ой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лаборатори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ей центра гигиены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. Одним из направлений, оказывающих значительное влияние на работу системы здравоохранения, на качество и безопасность оказания медицинской помощи населению является профессиональная подготовка персонала, в том числе по вопросам инфекционного контроля в организациях здравоохранения. </w:t>
      </w:r>
      <w:r>
        <w:rPr>
          <w:rFonts w:hint="default" w:ascii="Times New Roman" w:hAnsi="Times New Roman" w:eastAsia="SimSun" w:cs="Times New Roman"/>
          <w:i w:val="0"/>
          <w:iCs w:val="0"/>
          <w:sz w:val="28"/>
          <w:szCs w:val="28"/>
        </w:rPr>
        <w:t>Для повышения профессиональных знаний проведены семинары, конференции</w:t>
      </w:r>
      <w:r>
        <w:rPr>
          <w:rFonts w:hint="default" w:ascii="Times New Roman" w:hAnsi="Times New Roman" w:eastAsia="SimSun" w:cs="Times New Roman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sz w:val="28"/>
          <w:szCs w:val="28"/>
        </w:rPr>
        <w:t xml:space="preserve"> с принятием зачетов на рабочих местах.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Вопросы оптимизации системы эпидемиологического слежения за инфекциями, связанными с оказанием медицинской помощи, рассматриваются ежегодно на заседаниях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Совета депутатов Костюковичского района и медицинских советов. </w:t>
      </w:r>
    </w:p>
    <w:p w14:paraId="7FFD486D">
      <w:pPr>
        <w:ind w:firstLine="708" w:firstLineChars="0"/>
        <w:jc w:val="both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В </w:t>
      </w:r>
      <w:r>
        <w:rPr>
          <w:rFonts w:hint="default" w:ascii="Times New Roman" w:hAnsi="Times New Roman" w:eastAsia="SimSun" w:cs="Times New Roman"/>
          <w:sz w:val="28"/>
          <w:szCs w:val="28"/>
        </w:rPr>
        <w:t>течение года пров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одится анализ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с использованием программы WHONET, внедренной в организаци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и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здравоохранения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«Костюковичской ЦРБ». </w:t>
      </w:r>
    </w:p>
    <w:p w14:paraId="272A771A">
      <w:pPr>
        <w:shd w:val="clear" w:color="auto" w:fill="FFFFFF"/>
        <w:spacing w:after="0" w:line="240" w:lineRule="auto"/>
        <w:ind w:firstLine="502"/>
        <w:jc w:val="both"/>
        <w:rPr>
          <w:rFonts w:hint="default" w:ascii="Times New Roman" w:hAnsi="Times New Roman" w:cs="Times New Roman"/>
          <w:color w:val="auto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auto"/>
          <w:sz w:val="28"/>
          <w:szCs w:val="28"/>
        </w:rPr>
        <w:t>Показатель 3.а.1.1</w:t>
      </w:r>
      <w:r>
        <w:rPr>
          <w:rFonts w:hint="default" w:ascii="Times New Roman" w:hAnsi="Times New Roman"/>
          <w:b/>
          <w:bCs w:val="0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bCs w:val="0"/>
          <w:color w:val="auto"/>
          <w:sz w:val="28"/>
          <w:szCs w:val="28"/>
        </w:rPr>
        <w:t>«Распространенность употребления табака лицами в возрасте 16 лет и старше (процент)»</w:t>
      </w:r>
      <w:r>
        <w:rPr>
          <w:rFonts w:hint="default" w:ascii="Times New Roman" w:hAnsi="Times New Roman"/>
          <w:b/>
          <w:bCs w:val="0"/>
          <w:color w:val="auto"/>
          <w:sz w:val="28"/>
          <w:szCs w:val="28"/>
          <w:lang w:val="ru-RU"/>
        </w:rPr>
        <w:t xml:space="preserve">. 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ru-RU" w:bidi="ru-RU"/>
        </w:rPr>
        <w:t>В 202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ru-RU" w:bidi="ru-RU"/>
        </w:rPr>
        <w:t>5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ru-RU" w:bidi="ru-RU"/>
        </w:rPr>
        <w:t xml:space="preserve"> году на территории района осуществлялись различные подходы для достижения эффективности межведомственного взаимодействия для решения задач, регулируемых показателем ЦУР 3.а.1.1. </w:t>
      </w:r>
      <w:r>
        <w:rPr>
          <w:rFonts w:hint="default" w:ascii="Times New Roman" w:hAnsi="Times New Roman" w:eastAsia="SimSun" w:cs="Times New Roman"/>
          <w:sz w:val="28"/>
          <w:szCs w:val="28"/>
        </w:rPr>
        <w:t>Медицинскими работниками организована систематическая работа в рамках республиканских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, областных, районных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информационно-образовательных акций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, дней здоровья, проводилась работа с различными профилактическими формами.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ru-RU" w:bidi="ru-RU"/>
        </w:rPr>
        <w:t>Информационно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ru-RU" w:bidi="ru-RU"/>
        </w:rPr>
        <w:softHyphen/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ru-RU" w:bidi="ru-RU"/>
        </w:rPr>
        <w:t>образовательные мероприятия, направленные на информирование населения о негативном воздействии никотина на организм человека, способах отказа от табачной и нетабачной никотинсодержащей продукции, а также о способах лечения никотиновой зависимости, проводятся в рамках профилактических проектов, совместных планов работы с учреждениями и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ru-RU" w:bidi="ru-RU"/>
        </w:rPr>
        <w:t xml:space="preserve"> организациями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ru-RU" w:bidi="ru-RU"/>
        </w:rPr>
        <w:t>.</w:t>
      </w:r>
    </w:p>
    <w:p w14:paraId="29D36A2C">
      <w:pPr>
        <w:ind w:firstLine="708" w:firstLineChars="0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  <w:t>П</w:t>
      </w: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 xml:space="preserve">оказатель 3.9.1 «Смертность от загрязнения воздуха в жилых помещениях и атмосферного воздуха».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Вопросы недопущения ухудшения параметров безопасности атмосферного воздуха в местах компактного проживания населения продолжали находиться на постоянном контроле, в т.ч. органов власти.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В Костюковичском районе о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сновными источниками загрязнения атмосферного воздуха являются объекты промышленности и автомобильный транспорт, в меньшей степени сельское хозяйство и хозяйственная деятельность населения.</w:t>
      </w:r>
    </w:p>
    <w:p w14:paraId="2E9CD2E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Анализируя проделанную работу за 202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год на территории Костюковичского района отмечается тенденция к сохранению устойчивых показателей атмосферного воздуха. Превышений ПДК загрязняющих веществ не зарегистрировано  ни  в одной  из  исследованных  проб  воздуха.</w:t>
      </w:r>
    </w:p>
    <w:p w14:paraId="5154D019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 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Основной задачей на 202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год является дальнейшее совершенствование деятельности по осуществлению государственного санитарного надзора за качеством и безопасностью атмосферного воздуха в населённых пунктах, в том числе лабораторного сопровождения с учётом перспективного развития промышленности и роста автотранспорта.</w:t>
      </w:r>
    </w:p>
    <w:p w14:paraId="0F003633">
      <w:pPr>
        <w:ind w:firstLine="708" w:firstLineChars="0"/>
        <w:jc w:val="both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На территори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и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Костюковичского района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прилагались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все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усилия для реализации потенциала межведомственного взаимодействия для обеспечения комплексного подхода по достижению устойчивости в улучшении экологической ситуации.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В </w:t>
      </w:r>
      <w:r>
        <w:rPr>
          <w:rFonts w:hint="default" w:ascii="Times New Roman" w:hAnsi="Times New Roman" w:eastAsia="SimSun" w:cs="Times New Roman"/>
          <w:sz w:val="28"/>
          <w:szCs w:val="28"/>
        </w:rPr>
        <w:t>2025 год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у в  Костюковичском районе действует 6 объектов с расчётной  с</w:t>
      </w:r>
      <w:r>
        <w:rPr>
          <w:rFonts w:hint="default" w:ascii="Times New Roman" w:hAnsi="Times New Roman" w:eastAsia="SimSun" w:cs="Times New Roman"/>
          <w:sz w:val="28"/>
          <w:szCs w:val="28"/>
        </w:rPr>
        <w:t>анитарно-защитной зон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ой.</w:t>
      </w:r>
    </w:p>
    <w:p w14:paraId="4ED129FB">
      <w:pPr>
        <w:ind w:firstLine="708" w:firstLineChars="0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  <w:t>П</w:t>
      </w: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>оказатель 3.9.2 «Смертность от отсутствия безопасной воды, безопасной санитарии и гигиены (от отсутствия безопасных услуг в области водоснабжения, санитарии и гигиены (ВССГ) для всех)».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</w:t>
      </w:r>
    </w:p>
    <w:p w14:paraId="3D1B0B8E">
      <w:pPr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Проблема обеспечения населения качественной питьевой водой является актуальной и одной из приоритетных. 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Устойчивое развитие в области здоровья предполагает возрастание значимости профилактики, как системы мер, направленных на устранение причин и условий, вызывающих распространение болезней, создание здоровой сберегающей среды жизнедеятельности и формирование у населения здорового образа жизни.</w:t>
      </w:r>
    </w:p>
    <w:p w14:paraId="1B4A4431">
      <w:pPr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Костюковичском районе проведена определ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ё</w:t>
      </w:r>
      <w:r>
        <w:rPr>
          <w:rFonts w:hint="default" w:ascii="Times New Roman" w:hAnsi="Times New Roman" w:cs="Times New Roman"/>
          <w:sz w:val="28"/>
          <w:szCs w:val="28"/>
        </w:rPr>
        <w:t>нная работа по обеспечению населения доброкачественной питьевой водой в соответствии с п. 11 Закона Республики Беларусь «О санитарно-эпидемиологическом благополучии населения», ст. 39 Закона Республики Беларусь «О питьевом водоснабжении», однако по-прежнему оста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ё</w:t>
      </w:r>
      <w:r>
        <w:rPr>
          <w:rFonts w:hint="default" w:ascii="Times New Roman" w:hAnsi="Times New Roman" w:cs="Times New Roman"/>
          <w:sz w:val="28"/>
          <w:szCs w:val="28"/>
        </w:rPr>
        <w:t xml:space="preserve">тся ряд вопросов, требующих решения. </w:t>
      </w:r>
    </w:p>
    <w:p w14:paraId="1DB1AA79">
      <w:pPr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На надзоре в УЗ «Костюковичский райЦГЭ» находится 120 источников централизованного водоснабжения (коммунальных – 65, ведомственных – 55). Количество подконтрольных коммунальных водопроводов – 42, ведомственных водопроводов – 41. </w:t>
      </w:r>
    </w:p>
    <w:p w14:paraId="0DB8BBB9">
      <w:pPr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Производственный лабораторный контроль качества питьевой воды в Костюковичском районе осуществляется по договорам лабораторией УЗ «Костюковичский райЦГЭ» согласно разработанных субъектами программ лабораторного контроля и собственной производственной лабораторией Филиал «Костюковичский водоканал» унитарного производственного коммунального предприятия водопроводно-канализационного хозяйства «Могилевоблводоканал» (филиал «Костюковичиводоканал» УПКП ВКХ «Могилевоблводоканал»). </w:t>
      </w:r>
    </w:p>
    <w:p w14:paraId="4F90DA54">
      <w:pPr>
        <w:ind w:firstLine="567"/>
        <w:jc w:val="both"/>
        <w:rPr>
          <w:rFonts w:hint="default" w:ascii="Times New Roman" w:hAnsi="Times New Roman" w:cs="Times New Roman"/>
          <w:color w:val="FF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Для улучшения качества питьевой воды по содержанию железа в Костюковичском районе действует 29 станций обезжелезивания: 1 -  на водозаборе «Лесной», 14 в сельских населенных пунктах:</w:t>
      </w:r>
      <w:r>
        <w:rPr>
          <w:rFonts w:hint="default"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агр. Селецкое,</w:t>
      </w:r>
      <w:r>
        <w:rPr>
          <w:rFonts w:hint="default"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агр. Муравилье,</w:t>
      </w:r>
      <w:r>
        <w:rPr>
          <w:rFonts w:hint="default" w:ascii="Times New Roman" w:hAnsi="Times New Roman" w:cs="Times New Roman"/>
          <w:color w:val="FF0000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агр. Тупичино,</w:t>
      </w:r>
      <w:r>
        <w:rPr>
          <w:rFonts w:hint="default" w:ascii="Times New Roman" w:hAnsi="Times New Roman" w:cs="Times New Roman"/>
          <w:color w:val="FF0000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агр. Шарейки,</w:t>
      </w:r>
      <w:r>
        <w:rPr>
          <w:rFonts w:hint="default" w:ascii="Times New Roman" w:hAnsi="Times New Roman" w:cs="Times New Roman"/>
          <w:color w:val="FF0000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агр. Белая Дуброва, агр. Н. Самотевичи,</w:t>
      </w:r>
      <w:r>
        <w:rPr>
          <w:rFonts w:hint="default"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агр.Бороньки,</w:t>
      </w:r>
      <w:r>
        <w:rPr>
          <w:rFonts w:hint="default"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агр. Большая Крапивня,</w:t>
      </w:r>
      <w:r>
        <w:rPr>
          <w:rFonts w:hint="default"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д. Забычанье,</w:t>
      </w:r>
      <w:r>
        <w:rPr>
          <w:rFonts w:hint="default"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д. Белынковичи, д. Мошевое, д. Демидовичи, д. Каничи, д. Гавриленка, также в районе действует 9 мини станций обезжелезивания:</w:t>
      </w:r>
      <w:r>
        <w:rPr>
          <w:rFonts w:hint="default"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д. Пролетарское,</w:t>
      </w:r>
      <w:r>
        <w:rPr>
          <w:rFonts w:hint="default"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д. Липовка,</w:t>
      </w:r>
      <w:r>
        <w:rPr>
          <w:rFonts w:hint="default"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д. Колодливо, д. Боровка, д. Видуйцы, д. Смольки, д. Крупня, д. Негино и д. Волоськовня и 5 мини-мини станций обезжелезивания: д. Вишни, д. Кубраковка, д. Норкино, д. Шабли и д. Фроловка (Селецкое),</w:t>
      </w:r>
      <w:r>
        <w:rPr>
          <w:rFonts w:hint="default"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что позволило значительно улучшить качество воды, приведя 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ё</w:t>
      </w:r>
      <w:r>
        <w:rPr>
          <w:rFonts w:hint="default" w:ascii="Times New Roman" w:hAnsi="Times New Roman" w:cs="Times New Roman"/>
          <w:sz w:val="28"/>
          <w:szCs w:val="28"/>
        </w:rPr>
        <w:t xml:space="preserve"> в соответствии с гигиеническими нормативами. </w:t>
      </w:r>
    </w:p>
    <w:p w14:paraId="7314124D">
      <w:pPr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2025 году введены в эксплуатацию станции обезжелезивания в д. Мошевое, д. Демидовичи, д. Каничи, д. Гавриленка, мини станций обезжелезивания в д. Крупня, д. Негино, д. Волоськовня и мини-мини станций обезжелезивания в д. Вишни, д. Кубраковка, д. Норкино, Шабли, Фроловка (Селецкое)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sz w:val="28"/>
          <w:szCs w:val="28"/>
        </w:rPr>
        <w:t>роведена замена участков сетей водоснабжения в. Тупичино – 935 м, агр Новые Самотевичи – 560 м, в ходе ремонта д. Видуйцы – 42 м, д. Кубраковка – 6 м, д. Негино – 6 м, д. Гавриленка – 33 м, д. Селецкое – 6 м и д. Волоськовня – 130 м, г. Костюковичи - 4507 м.</w:t>
      </w:r>
    </w:p>
    <w:p w14:paraId="16F1E154">
      <w:pPr>
        <w:ind w:firstLine="567"/>
        <w:jc w:val="both"/>
        <w:rPr>
          <w:rFonts w:hint="default" w:ascii="Times New Roman" w:hAnsi="Times New Roman" w:cs="Times New Roman"/>
          <w:color w:val="FF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 улучшению здоровья и среды обитания населения  для достижения показателей целей устойчивого развития в нашем районе ведутся работы по установке новых очистительных систем проходящих по госпрограмме «Комфортное жилье и благоприятная среда» (подпрограмма «Чистая вода»).</w:t>
      </w:r>
      <w:r>
        <w:rPr>
          <w:rFonts w:hint="default" w:ascii="Times New Roman" w:hAnsi="Times New Roman" w:cs="Times New Roman"/>
          <w:color w:val="FF0000"/>
          <w:sz w:val="28"/>
          <w:szCs w:val="28"/>
        </w:rPr>
        <w:t xml:space="preserve"> </w:t>
      </w:r>
    </w:p>
    <w:p w14:paraId="17CD7DD6">
      <w:pPr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В рамках социально гигиенического мониторинга объектов нецентрализованного водоснабжения, проведенного УЗ «Костюковичский райЦГЭ» за 2025 год в адрес УКПП «Костюковичский жилкоммунхоз» направлено  10 писем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(2024 год - 6) </w:t>
      </w:r>
      <w:r>
        <w:rPr>
          <w:rFonts w:hint="default" w:ascii="Times New Roman" w:hAnsi="Times New Roman" w:cs="Times New Roman"/>
          <w:sz w:val="28"/>
          <w:szCs w:val="28"/>
        </w:rPr>
        <w:t>для принятия мер по проведению чистки и дезинфекции 32 колодц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ев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01469376">
      <w:pPr>
        <w:ind w:firstLine="708" w:firstLineChars="0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</w:p>
    <w:p w14:paraId="2E153E89">
      <w:pPr>
        <w:ind w:firstLine="708" w:firstLineChars="0"/>
        <w:jc w:val="both"/>
        <w:rPr>
          <w:rFonts w:hint="default" w:ascii="Times New Roman" w:hAnsi="Times New Roman" w:eastAsia="SimSun" w:cs="Times New Roman"/>
          <w:sz w:val="28"/>
          <w:szCs w:val="28"/>
        </w:rPr>
      </w:pPr>
    </w:p>
    <w:p w14:paraId="3C1FFEBB">
      <w:pPr>
        <w:ind w:firstLine="708" w:firstLineChars="0"/>
        <w:jc w:val="both"/>
        <w:rPr>
          <w:rFonts w:hint="default" w:ascii="Times New Roman" w:hAnsi="Times New Roman" w:eastAsia="SimSun" w:cs="Times New Roman"/>
          <w:sz w:val="28"/>
          <w:szCs w:val="28"/>
        </w:rPr>
      </w:pPr>
    </w:p>
    <w:p w14:paraId="5D20E7E1">
      <w:pPr>
        <w:ind w:firstLine="708" w:firstLineChars="0"/>
        <w:jc w:val="both"/>
        <w:rPr>
          <w:rFonts w:hint="default" w:ascii="Times New Roman" w:hAnsi="Times New Roman" w:eastAsia="SimSun" w:cs="Times New Roman"/>
          <w:sz w:val="28"/>
          <w:szCs w:val="28"/>
        </w:rPr>
      </w:pPr>
    </w:p>
    <w:p w14:paraId="5EF6134E">
      <w:pPr>
        <w:ind w:firstLine="708" w:firstLineChars="0"/>
        <w:jc w:val="both"/>
        <w:rPr>
          <w:rFonts w:hint="default" w:ascii="Times New Roman" w:hAnsi="Times New Roman" w:eastAsia="SimSun" w:cs="Times New Roman"/>
          <w:sz w:val="28"/>
          <w:szCs w:val="28"/>
        </w:rPr>
      </w:pPr>
    </w:p>
    <w:p w14:paraId="159B11BE">
      <w:pPr>
        <w:ind w:firstLine="708" w:firstLineChars="0"/>
        <w:jc w:val="both"/>
        <w:rPr>
          <w:rFonts w:hint="default" w:ascii="Times New Roman" w:hAnsi="Times New Roman" w:eastAsia="SimSun" w:cs="Times New Roman"/>
          <w:sz w:val="28"/>
          <w:szCs w:val="28"/>
        </w:rPr>
      </w:pPr>
    </w:p>
    <w:sectPr>
      <w:pgSz w:w="11906" w:h="16838"/>
      <w:pgMar w:top="850" w:right="567" w:bottom="850" w:left="1701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522FD5"/>
    <w:rsid w:val="12C07E05"/>
    <w:rsid w:val="148A50A0"/>
    <w:rsid w:val="16405E6B"/>
    <w:rsid w:val="194262B5"/>
    <w:rsid w:val="26811F3C"/>
    <w:rsid w:val="466E0CC7"/>
    <w:rsid w:val="4F71232C"/>
    <w:rsid w:val="50F0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Основной текст (2)"/>
    <w:basedOn w:val="1"/>
    <w:qFormat/>
    <w:uiPriority w:val="0"/>
    <w:pPr>
      <w:widowControl w:val="0"/>
      <w:shd w:val="clear" w:color="auto" w:fill="FFFFFF"/>
      <w:spacing w:before="3420" w:after="0" w:line="0" w:lineRule="atLeast"/>
      <w:jc w:val="both"/>
    </w:pPr>
    <w:rPr>
      <w:rFonts w:ascii="Times New Roman" w:hAnsi="Times New Roman" w:eastAsia="Times New Roman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2026-09-29T07:03:00Z</dcterms:created>
  <dc:creator>User</dc:creator>
  <cp:lastModifiedBy>User</cp:lastModifiedBy>
  <cp:lastPrinted>2026-10-05T06:40:00Z</cp:lastPrinted>
  <dcterms:modified xsi:type="dcterms:W3CDTF">2026-10-05T08:08:06Z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1F2896EABF64453BBE7B473F62DB9D9F_12</vt:lpwstr>
  </property>
</Properties>
</file>